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b w:val="0"/>
          <w:i w:val="0"/>
          <w:caps w:val="0"/>
          <w:color w:val="auto"/>
          <w:spacing w:val="0"/>
          <w:sz w:val="31"/>
          <w:szCs w:val="31"/>
          <w:lang w:val="en-US" w:eastAsia="zh-CN"/>
        </w:rPr>
      </w:pPr>
    </w:p>
    <w:p>
      <w:pPr>
        <w:ind w:firstLine="620" w:firstLineChars="200"/>
        <w:jc w:val="both"/>
        <w:rPr>
          <w:rFonts w:hint="eastAsia" w:ascii="仿宋" w:hAnsi="仿宋" w:eastAsia="仿宋" w:cs="仿宋"/>
          <w:b w:val="0"/>
          <w:i w:val="0"/>
          <w:caps w:val="0"/>
          <w:color w:val="auto"/>
          <w:spacing w:val="0"/>
          <w:sz w:val="31"/>
          <w:szCs w:val="31"/>
          <w:lang w:val="en-US" w:eastAsia="zh-CN"/>
        </w:rPr>
      </w:pPr>
      <w:r>
        <w:rPr>
          <w:rFonts w:hint="eastAsia" w:ascii="仿宋" w:hAnsi="仿宋" w:eastAsia="仿宋" w:cs="仿宋"/>
          <w:b w:val="0"/>
          <w:i w:val="0"/>
          <w:caps w:val="0"/>
          <w:color w:val="auto"/>
          <w:spacing w:val="0"/>
          <w:sz w:val="31"/>
          <w:szCs w:val="31"/>
          <w:lang w:val="en-US" w:eastAsia="zh-CN"/>
        </w:rPr>
        <w:t>附件2：拟结题名单</w:t>
      </w:r>
    </w:p>
    <w:tbl>
      <w:tblPr>
        <w:tblStyle w:val="4"/>
        <w:tblW w:w="14058" w:type="dxa"/>
        <w:tblInd w:w="0" w:type="dxa"/>
        <w:shd w:val="clear" w:color="auto" w:fill="auto"/>
        <w:tblLayout w:type="fixed"/>
        <w:tblCellMar>
          <w:top w:w="0" w:type="dxa"/>
          <w:left w:w="0" w:type="dxa"/>
          <w:bottom w:w="0" w:type="dxa"/>
          <w:right w:w="0" w:type="dxa"/>
        </w:tblCellMar>
      </w:tblPr>
      <w:tblGrid>
        <w:gridCol w:w="544"/>
        <w:gridCol w:w="1215"/>
        <w:gridCol w:w="1665"/>
        <w:gridCol w:w="7590"/>
        <w:gridCol w:w="3044"/>
      </w:tblGrid>
      <w:tr>
        <w:tblPrEx>
          <w:shd w:val="clear" w:color="auto" w:fill="auto"/>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序号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课题编号</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课题承担人</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课题名称</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评审结果</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GH-17106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孔  红</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工匠精神引领高职创新人才培养的研究与实践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优秀</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张  燕</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中国优秀传统文化在高职院校大学生思想政治教育中的应用研究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张颖帅</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当代大学生红色文化教育研究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ZX-18122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田玉明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高职院校卓越双师型教师队伍建设研究与探索</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GH-16129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  宁</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《PLC控制系统运行与维护》理实一体教学模式实践研究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姚瑞敏</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山西省高职院校国际合作办学项目课程设置的实践研究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lang w:val="en-US" w:eastAsia="zh-CN"/>
              </w:rPr>
            </w:pPr>
            <w:r>
              <w:rPr>
                <w:rFonts w:hint="eastAsia" w:ascii="宋体" w:hAnsi="宋体" w:eastAsia="宋体" w:cs="宋体"/>
                <w:i w:val="0"/>
                <w:color w:val="auto"/>
                <w:sz w:val="20"/>
                <w:szCs w:val="20"/>
                <w:u w:val="none"/>
                <w:lang w:val="en-US" w:eastAsia="zh-CN"/>
              </w:rPr>
              <w:t>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富伯亭</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将数学实验融入高职数学教学的实践研究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GH-16134</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郭  菲</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物流管理专业现代学徒制人才培养模式研究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史学红</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冶金类专业中高职人才培养的衔接</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10</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薛  方</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冶金类专业教学资源库的建设研究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GH-17107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皇甫勇兵</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基于产教融合的工业机器人新型紧缺性人才培养供给侧改革的探索与研究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王晓鸽</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基于现代学徒制高职冶金类专业进阶式实践教学模式的研究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ZX-18113</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陈清胜</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依托山西地方产业的高职院校专业群建设研究</w:t>
            </w:r>
            <w:bookmarkStart w:id="0" w:name="_GoBack"/>
            <w:bookmarkEnd w:id="0"/>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ZX-18115</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侯向东</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冶金类高职院校专业群协同创新模式研究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薛凯娟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新时代背景下高职创新创业人才培养教育机制的研究与实践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常  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高职院校双创教育实践模式研究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良好</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郑留伟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高职材料类专业实践教学体系的构建与实践</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GH-16137</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  双</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道路曲线放样实验教学半实物与虚拟仿真平台建设</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19</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肖  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目前测绘类高等职业教育存在的若干问题与应对措施</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20</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GH-16139</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曹丽萍</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BIM技术在高职院校建筑工程专业的推广应用研究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21</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GH-17108</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秦华伟</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工业机器人生产性双创基地建设与双创人才培养协同发展的探索与研究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22</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乔仙蓉</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工业分析技术专业实践教学资源的开发研究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23</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ZX-18112</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徐旭宁</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基于“工匠精神”的高职院校职业素质教育思路探析</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57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24</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ZX-18114</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吉龙华</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基于“1331工程”的职业院校景观设计教学改革创新研究——以轨道交通景观为例</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25</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ZX-18116</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赵涓涓</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高职院校协同创新平台提升社会服务能力的研究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26</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GH-16141</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王  琪</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习近平世界文明多样性思想研究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27</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GH-17113</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陈莉蓉</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充分利用新媒体创新高校思想政治理论课教育教学模式研究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r>
        <w:tblPrEx>
          <w:tblCellMar>
            <w:top w:w="0" w:type="dxa"/>
            <w:left w:w="0" w:type="dxa"/>
            <w:bottom w:w="0" w:type="dxa"/>
            <w:right w:w="0" w:type="dxa"/>
          </w:tblCellMar>
        </w:tblPrEx>
        <w:trPr>
          <w:trHeight w:val="4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28</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ZX-18120</w:t>
            </w:r>
          </w:p>
        </w:tc>
        <w:tc>
          <w:tcPr>
            <w:tcW w:w="16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李建平</w:t>
            </w:r>
          </w:p>
        </w:tc>
        <w:tc>
          <w:tcPr>
            <w:tcW w:w="75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ind w:left="0" w:leftChars="0" w:firstLine="220" w:firstLineChars="110"/>
              <w:jc w:val="left"/>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高职院校辅导员“立德树人”的实现路径研究</w:t>
            </w:r>
          </w:p>
        </w:tc>
        <w:tc>
          <w:tcPr>
            <w:tcW w:w="30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合格</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